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</w:t>
      </w:r>
    </w:p>
    <w:p>
      <w:pPr>
        <w:spacing w:line="560" w:lineRule="exact"/>
        <w:rPr>
          <w:rFonts w:ascii="宋体" w:hAnsi="Times New Roman" w:eastAsia="宋体" w:cs="Times New Roman"/>
          <w:kern w:val="0"/>
          <w:sz w:val="34"/>
          <w:szCs w:val="20"/>
        </w:rPr>
      </w:pP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项目一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1：四川省房地产开发（集团）股份有限公司；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2：四川国基实业有限公司；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：四川格瑞食品有限公司；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：四川际天时股份有限公司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: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成都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西岭生态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农业有限公司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项目二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1：四川首联国际经济联合咨询有限公司；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2：四川省资产投资武侯有限公司；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3：乐山国乐土地开发整理有限公司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4：万源市绿宝资源开发有限责任公司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：成都华高药业有限公司；</w:t>
      </w:r>
    </w:p>
    <w:p>
      <w:pPr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：伊犁北疆旅游开发有限公司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4"/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720C4"/>
    <w:rsid w:val="456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2022-06-17T07:31:00Z</dcterms:created>
  <dc:creator>卢徐豪</dc:creator>
  <cp:lastModifiedBy>卢徐豪</cp:lastModifiedBy>
  <dcterms:modified xsi:type="dcterms:W3CDTF">2022-06-17T07:32:02Z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